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и экономическая  политика</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«Государственное управление и экономическая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36.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«Государственное управление и экономическая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3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pPr>
              <w:jc w:val="both"/>
              <w:spacing w:after="0" w:line="240" w:lineRule="auto"/>
              <w:rPr>
                <w:sz w:val="24"/>
                <w:szCs w:val="24"/>
              </w:rPr>
            </w:pPr>
            <w:r>
              <w:rPr>
                <w:rFonts w:ascii="Times New Roman" w:hAnsi="Times New Roman" w:cs="Times New Roman"/>
                <w:color w:val="#000000"/>
                <w:sz w:val="24"/>
                <w:szCs w:val="24"/>
              </w:rPr>
              <w:t> 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Исторический сравнительный анализ переходной экономики российского экономического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pPr>
              <w:jc w:val="both"/>
              <w:spacing w:after="0" w:line="240" w:lineRule="auto"/>
              <w:rPr>
                <w:sz w:val="24"/>
                <w:szCs w:val="24"/>
              </w:rPr>
            </w:pPr>
            <w:r>
              <w:rPr>
                <w:rFonts w:ascii="Times New Roman" w:hAnsi="Times New Roman" w:cs="Times New Roman"/>
                <w:color w:val="#000000"/>
                <w:sz w:val="24"/>
                <w:szCs w:val="24"/>
              </w:rPr>
              <w:t> 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pPr>
              <w:jc w:val="both"/>
              <w:spacing w:after="0" w:line="240" w:lineRule="auto"/>
              <w:rPr>
                <w:sz w:val="24"/>
                <w:szCs w:val="24"/>
              </w:rPr>
            </w:pPr>
            <w:r>
              <w:rPr>
                <w:rFonts w:ascii="Times New Roman" w:hAnsi="Times New Roman" w:cs="Times New Roman"/>
                <w:color w:val="#000000"/>
                <w:sz w:val="24"/>
                <w:szCs w:val="24"/>
              </w:rPr>
              <w:t> 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Прогноз развития России: внешнеэкономический аспект.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pPr>
              <w:jc w:val="both"/>
              <w:spacing w:after="0" w:line="240" w:lineRule="auto"/>
              <w:rPr>
                <w:sz w:val="24"/>
                <w:szCs w:val="24"/>
              </w:rPr>
            </w:pPr>
            <w:r>
              <w:rPr>
                <w:rFonts w:ascii="Times New Roman" w:hAnsi="Times New Roman" w:cs="Times New Roman"/>
                <w:color w:val="#000000"/>
                <w:sz w:val="24"/>
                <w:szCs w:val="24"/>
              </w:rPr>
              <w:t> 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209.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 программы, организация их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Система органов государственной экспертизы. Оценка социально-экономической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как управленческая категория.</w:t>
            </w:r>
          </w:p>
          <w:p>
            <w:pPr>
              <w:jc w:val="left"/>
              <w:spacing w:after="0" w:line="240" w:lineRule="auto"/>
              <w:rPr>
                <w:sz w:val="24"/>
                <w:szCs w:val="24"/>
              </w:rPr>
            </w:pPr>
            <w:r>
              <w:rPr>
                <w:rFonts w:ascii="Times New Roman" w:hAnsi="Times New Roman" w:cs="Times New Roman"/>
                <w:color w:val="#000000"/>
                <w:sz w:val="24"/>
                <w:szCs w:val="24"/>
              </w:rPr>
              <w:t> 2 Нормативно-правовое регулирование как фактор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3 Российская социально-экономическая специфика государственной экономической политики.</w:t>
            </w:r>
          </w:p>
          <w:p>
            <w:pPr>
              <w:jc w:val="left"/>
              <w:spacing w:after="0" w:line="240" w:lineRule="auto"/>
              <w:rPr>
                <w:sz w:val="24"/>
                <w:szCs w:val="24"/>
              </w:rPr>
            </w:pPr>
            <w:r>
              <w:rPr>
                <w:rFonts w:ascii="Times New Roman" w:hAnsi="Times New Roman" w:cs="Times New Roman"/>
                <w:color w:val="#000000"/>
                <w:sz w:val="24"/>
                <w:szCs w:val="24"/>
              </w:rPr>
              <w:t> 4. Экономика страны как объект государственного регулирования.</w:t>
            </w:r>
          </w:p>
          <w:p>
            <w:pPr>
              <w:jc w:val="left"/>
              <w:spacing w:after="0" w:line="240" w:lineRule="auto"/>
              <w:rPr>
                <w:sz w:val="24"/>
                <w:szCs w:val="24"/>
              </w:rPr>
            </w:pPr>
            <w:r>
              <w:rPr>
                <w:rFonts w:ascii="Times New Roman" w:hAnsi="Times New Roman" w:cs="Times New Roman"/>
                <w:color w:val="#000000"/>
                <w:sz w:val="24"/>
                <w:szCs w:val="24"/>
              </w:rPr>
              <w:t> 5. Органы государственной власти, ответственные за экономическое развитие.</w:t>
            </w:r>
          </w:p>
          <w:p>
            <w:pPr>
              <w:jc w:val="left"/>
              <w:spacing w:after="0" w:line="240" w:lineRule="auto"/>
              <w:rPr>
                <w:sz w:val="24"/>
                <w:szCs w:val="24"/>
              </w:rPr>
            </w:pPr>
            <w:r>
              <w:rPr>
                <w:rFonts w:ascii="Times New Roman" w:hAnsi="Times New Roman" w:cs="Times New Roman"/>
                <w:color w:val="#000000"/>
                <w:sz w:val="24"/>
                <w:szCs w:val="24"/>
              </w:rPr>
              <w:t> 6. Оптимальное сочетание административных и экономических методов. Ошибки государства в регулировании.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3. Денежно-кредитная и банковская политика.</w:t>
            </w:r>
          </w:p>
          <w:p>
            <w:pPr>
              <w:jc w:val="left"/>
              <w:spacing w:after="0" w:line="240" w:lineRule="auto"/>
              <w:rPr>
                <w:sz w:val="24"/>
                <w:szCs w:val="24"/>
              </w:rPr>
            </w:pPr>
            <w:r>
              <w:rPr>
                <w:rFonts w:ascii="Times New Roman" w:hAnsi="Times New Roman" w:cs="Times New Roman"/>
                <w:color w:val="#000000"/>
                <w:sz w:val="24"/>
                <w:szCs w:val="24"/>
              </w:rPr>
              <w:t> 4. Механизм фискальной политики: дискреционная политика и политика встроенных стабилизаторов.</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по регулированию цен и сдерживанию инфляции</w:t>
            </w:r>
          </w:p>
          <w:p>
            <w:pPr>
              <w:jc w:val="left"/>
              <w:spacing w:after="0" w:line="240" w:lineRule="auto"/>
              <w:rPr>
                <w:sz w:val="24"/>
                <w:szCs w:val="24"/>
              </w:rPr>
            </w:pPr>
            <w:r>
              <w:rPr>
                <w:rFonts w:ascii="Times New Roman" w:hAnsi="Times New Roman" w:cs="Times New Roman"/>
                <w:color w:val="#000000"/>
                <w:sz w:val="24"/>
                <w:szCs w:val="24"/>
              </w:rPr>
              <w:t> 6. Внутренний и внешний государственный долг. Система управления государственным долгом.</w:t>
            </w:r>
          </w:p>
          <w:p>
            <w:pPr>
              <w:jc w:val="left"/>
              <w:spacing w:after="0" w:line="240" w:lineRule="auto"/>
              <w:rPr>
                <w:sz w:val="24"/>
                <w:szCs w:val="24"/>
              </w:rPr>
            </w:pPr>
            <w:r>
              <w:rPr>
                <w:rFonts w:ascii="Times New Roman" w:hAnsi="Times New Roman" w:cs="Times New Roman"/>
                <w:color w:val="#000000"/>
                <w:sz w:val="24"/>
                <w:szCs w:val="24"/>
              </w:rPr>
              <w:t> 7. Механизм и инструменты воздействия Банка России на предложение денег в экономике.</w:t>
            </w:r>
          </w:p>
          <w:p>
            <w:pPr>
              <w:jc w:val="left"/>
              <w:spacing w:after="0" w:line="240" w:lineRule="auto"/>
              <w:rPr>
                <w:sz w:val="24"/>
                <w:szCs w:val="24"/>
              </w:rPr>
            </w:pPr>
            <w:r>
              <w:rPr>
                <w:rFonts w:ascii="Times New Roman" w:hAnsi="Times New Roman" w:cs="Times New Roman"/>
                <w:color w:val="#000000"/>
                <w:sz w:val="24"/>
                <w:szCs w:val="24"/>
              </w:rPr>
              <w:t> 8. Институты, проводящие денежно-кредитную политику в стране.</w:t>
            </w:r>
          </w:p>
          <w:p>
            <w:pPr>
              <w:jc w:val="left"/>
              <w:spacing w:after="0" w:line="240" w:lineRule="auto"/>
              <w:rPr>
                <w:sz w:val="24"/>
                <w:szCs w:val="24"/>
              </w:rPr>
            </w:pPr>
            <w:r>
              <w:rPr>
                <w:rFonts w:ascii="Times New Roman" w:hAnsi="Times New Roman" w:cs="Times New Roman"/>
                <w:color w:val="#000000"/>
                <w:sz w:val="24"/>
                <w:szCs w:val="24"/>
              </w:rPr>
              <w:t> 9. Взаимодействие Банка России и правительства в проведении денежно-кредитной политики.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21.31518"/>
        </w:trPr>
        <w:tc>
          <w:tcPr>
            <w:tcW w:w="9640" w:type="dxa"/>
          </w:tcPr>
          <w:p/>
        </w:tc>
      </w:tr>
      <w:tr>
        <w:trPr>
          <w:trHeight w:hRule="exact" w:val="740.4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политика государства в целях модернизации экономики.</w:t>
            </w:r>
          </w:p>
          <w:p>
            <w:pPr>
              <w:jc w:val="left"/>
              <w:spacing w:after="0" w:line="240" w:lineRule="auto"/>
              <w:rPr>
                <w:sz w:val="24"/>
                <w:szCs w:val="24"/>
              </w:rPr>
            </w:pPr>
            <w:r>
              <w:rPr>
                <w:rFonts w:ascii="Times New Roman" w:hAnsi="Times New Roman" w:cs="Times New Roman"/>
                <w:color w:val="#000000"/>
                <w:sz w:val="24"/>
                <w:szCs w:val="24"/>
              </w:rPr>
              <w:t> 2. Регулирование искусственных и естественных монополий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Цикличность экономической конъюнктуры. Антикризисные меры государства.</w:t>
            </w:r>
          </w:p>
          <w:p>
            <w:pPr>
              <w:jc w:val="left"/>
              <w:spacing w:after="0" w:line="240" w:lineRule="auto"/>
              <w:rPr>
                <w:sz w:val="24"/>
                <w:szCs w:val="24"/>
              </w:rPr>
            </w:pPr>
            <w:r>
              <w:rPr>
                <w:rFonts w:ascii="Times New Roman" w:hAnsi="Times New Roman" w:cs="Times New Roman"/>
                <w:color w:val="#000000"/>
                <w:sz w:val="24"/>
                <w:szCs w:val="24"/>
              </w:rPr>
              <w:t> 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pPr>
              <w:jc w:val="left"/>
              <w:spacing w:after="0" w:line="240" w:lineRule="auto"/>
              <w:rPr>
                <w:sz w:val="24"/>
                <w:szCs w:val="24"/>
              </w:rPr>
            </w:pPr>
            <w:r>
              <w:rPr>
                <w:rFonts w:ascii="Times New Roman" w:hAnsi="Times New Roman" w:cs="Times New Roman"/>
                <w:color w:val="#000000"/>
                <w:sz w:val="24"/>
                <w:szCs w:val="24"/>
              </w:rPr>
              <w:t> 6. Особенности экономического развития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организации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 Создание негосударственных пенсионных фондов.</w:t>
            </w:r>
          </w:p>
          <w:p>
            <w:pPr>
              <w:jc w:val="left"/>
              <w:spacing w:after="0" w:line="240" w:lineRule="auto"/>
              <w:rPr>
                <w:sz w:val="24"/>
                <w:szCs w:val="24"/>
              </w:rPr>
            </w:pPr>
            <w:r>
              <w:rPr>
                <w:rFonts w:ascii="Times New Roman" w:hAnsi="Times New Roman" w:cs="Times New Roman"/>
                <w:color w:val="#000000"/>
                <w:sz w:val="24"/>
                <w:szCs w:val="24"/>
              </w:rPr>
              <w:t> 3. Социальные отношения как объект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4. Социальная защищенность. Социальные приоритеты в экономике. Сущность и направления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5. Модели и формы социальной защиты населения. Индикаторы эффективности социальной политики.</w:t>
            </w:r>
          </w:p>
          <w:p>
            <w:pPr>
              <w:jc w:val="left"/>
              <w:spacing w:after="0" w:line="240" w:lineRule="auto"/>
              <w:rPr>
                <w:sz w:val="24"/>
                <w:szCs w:val="24"/>
              </w:rPr>
            </w:pPr>
            <w:r>
              <w:rPr>
                <w:rFonts w:ascii="Times New Roman" w:hAnsi="Times New Roman" w:cs="Times New Roman"/>
                <w:color w:val="#000000"/>
                <w:sz w:val="24"/>
                <w:szCs w:val="24"/>
              </w:rPr>
              <w:t> 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pPr>
              <w:jc w:val="left"/>
              <w:spacing w:after="0" w:line="240" w:lineRule="auto"/>
              <w:rPr>
                <w:sz w:val="24"/>
                <w:szCs w:val="24"/>
              </w:rPr>
            </w:pPr>
            <w:r>
              <w:rPr>
                <w:rFonts w:ascii="Times New Roman" w:hAnsi="Times New Roman" w:cs="Times New Roman"/>
                <w:color w:val="#000000"/>
                <w:sz w:val="24"/>
                <w:szCs w:val="24"/>
              </w:rPr>
              <w:t> 8. Государственная экономическая политика в сфере доходов и оплаты труда граждан России.</w:t>
            </w:r>
          </w:p>
          <w:p>
            <w:pPr>
              <w:jc w:val="left"/>
              <w:spacing w:after="0" w:line="240" w:lineRule="auto"/>
              <w:rPr>
                <w:sz w:val="24"/>
                <w:szCs w:val="24"/>
              </w:rPr>
            </w:pPr>
            <w:r>
              <w:rPr>
                <w:rFonts w:ascii="Times New Roman" w:hAnsi="Times New Roman" w:cs="Times New Roman"/>
                <w:color w:val="#000000"/>
                <w:sz w:val="24"/>
                <w:szCs w:val="24"/>
              </w:rPr>
              <w:t> 9. Социальные программы. Особенности проведения социальной политики в современной России.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содержание социально-экономического прогнозирования и планирования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Законодательство Российской Федерации о государственном прогнозировании программно-целевом планировании.</w:t>
            </w:r>
          </w:p>
          <w:p>
            <w:pPr>
              <w:jc w:val="left"/>
              <w:spacing w:after="0" w:line="240" w:lineRule="auto"/>
              <w:rPr>
                <w:sz w:val="24"/>
                <w:szCs w:val="24"/>
              </w:rPr>
            </w:pPr>
            <w:r>
              <w:rPr>
                <w:rFonts w:ascii="Times New Roman" w:hAnsi="Times New Roman" w:cs="Times New Roman"/>
                <w:color w:val="#000000"/>
                <w:sz w:val="24"/>
                <w:szCs w:val="24"/>
              </w:rPr>
              <w:t> 3. Роль, функции и организация прогнозирования в рыночной экономике. Система прогнозов.</w:t>
            </w:r>
          </w:p>
          <w:p>
            <w:pPr>
              <w:jc w:val="left"/>
              <w:spacing w:after="0" w:line="240" w:lineRule="auto"/>
              <w:rPr>
                <w:sz w:val="24"/>
                <w:szCs w:val="24"/>
              </w:rPr>
            </w:pPr>
            <w:r>
              <w:rPr>
                <w:rFonts w:ascii="Times New Roman" w:hAnsi="Times New Roman" w:cs="Times New Roman"/>
                <w:color w:val="#000000"/>
                <w:sz w:val="24"/>
                <w:szCs w:val="24"/>
              </w:rPr>
              <w:t> 4. Государственное программирование. Виды программ. Технология программирования.</w:t>
            </w:r>
          </w:p>
          <w:p>
            <w:pPr>
              <w:jc w:val="left"/>
              <w:spacing w:after="0" w:line="240" w:lineRule="auto"/>
              <w:rPr>
                <w:sz w:val="24"/>
                <w:szCs w:val="24"/>
              </w:rPr>
            </w:pPr>
            <w:r>
              <w:rPr>
                <w:rFonts w:ascii="Times New Roman" w:hAnsi="Times New Roman" w:cs="Times New Roman"/>
                <w:color w:val="#000000"/>
                <w:sz w:val="24"/>
                <w:szCs w:val="24"/>
              </w:rPr>
              <w:t> 5. Прогнозирование и программирование в кризисных ситуациях. Антикризисные программы.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https://urait.ru/bcode/473583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32.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2024-2025_ФГОС3++2024_Маг-ЗФО-ГМУ(ГРЭ)(24)_plx_Государственное управление и экономическая  политика</dc:title>
  <dc:creator>FastReport.NET</dc:creator>
</cp:coreProperties>
</file>